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ПРАВИТЕЛЬСТВО РЕСПУБЛИКИ ТЫВА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от ___ декабря 2023 г. № ____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внесении изменений в государственную программу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Республики Тыва «Реализация государственной национальной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политики Российской Федерации в Республике Тыва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2021 - 2023 годы»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статьей 179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Правительство Республики Тыва 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Внести в государственную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программу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Республики Тыва «Реализация государственной национальной политики Российской Федерации в Республике Тыва на 2021 - 2023 годы», утверждённую постановлением Правительства Республики Тыва от 23 апреля 2020 г. № 174 (далее - Программа),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в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паспорте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Программы: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color w:val="000000"/>
            <w:sz w:val="28"/>
            <w:szCs w:val="28"/>
          </w:rPr>
          <w:t>позицию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«Объемы бюджетных ассигнований Программы"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</w:p>
    <w:tbl>
      <w:tblPr>
        <w:tblW w:w="1034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80"/>
        <w:gridCol w:w="338"/>
        <w:gridCol w:w="1139"/>
        <w:gridCol w:w="1134"/>
        <w:gridCol w:w="1276"/>
        <w:gridCol w:w="1275"/>
        <w:gridCol w:w="1136"/>
        <w:gridCol w:w="1268"/>
      </w:tblGrid>
      <w:tr>
        <w:trPr/>
        <w:tc>
          <w:tcPr>
            <w:tcW w:w="2780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«Объемы бюджетных ассигнований Программы</w:t>
            </w:r>
          </w:p>
        </w:tc>
        <w:tc>
          <w:tcPr>
            <w:tcW w:w="338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7228" w:type="dxa"/>
            <w:gridSpan w:val="6"/>
            <w:tcBorders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объем бюджетных ассигнований на реализацию Программы составляет: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из средств федерального бюджета – 42575,6 тыс. рублей;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из средств республиканского бюджета Республики Тыва – 17690,7 тыс. рублей;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из местного бюджета - 2,65 тыс. рублей;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из внебюджетных источников - 552,6 тыс. рублей.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Объем бюджетных ассигнований на реализацию Программы по годам составляет 60821,6 тыс. рублей: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7228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(тыс. рублей)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Внебюджетные источники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16720,0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15557,6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979,2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183,2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20899,8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15956,5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4759,1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184,2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23201,75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11061,5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11952,4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185,2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60821,6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42575,6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17690,7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552,6</w:t>
            </w:r>
          </w:p>
        </w:tc>
      </w:tr>
      <w:tr>
        <w:trPr/>
        <w:tc>
          <w:tcPr>
            <w:tcW w:w="2780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338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highlight w:val="yellow"/>
              </w:rPr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республиканского бюджета Республики Тыва. Суммы софинансирования Программы из федерального и республиканского бюджетов могут быть скорректированы согласно уточнениям федерального бюджета";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yellow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>»;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</w:t>
      </w:r>
      <w:hyperlink r:id="rId6">
        <w:r>
          <w:rPr>
            <w:rFonts w:cs="Times New Roman" w:ascii="Times New Roman" w:hAnsi="Times New Roman"/>
            <w:color w:val="000000"/>
            <w:sz w:val="28"/>
            <w:szCs w:val="28"/>
          </w:rPr>
          <w:t>абзац второй раздела IV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«Предельный (прогнозный) объем финансирования Программы рассчитан в ценах соответствующих лет и составляет 60821,6 тыс. рублей, в том числе за счет средств федерального бюджета – 42575,6 тыс. рублей, средств республиканского бюджета – 17690,7 тыс. рублей, средств местного бюджета - 2,65 тыс. рублей, за счет внебюджетных средств - 552,6 тыс. рублей.»;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в) </w:t>
      </w:r>
      <w:hyperlink r:id="rId7">
        <w:r>
          <w:rPr>
            <w:rFonts w:cs="Times New Roman" w:ascii="Times New Roman" w:hAnsi="Times New Roman"/>
            <w:color w:val="000000"/>
            <w:sz w:val="28"/>
            <w:szCs w:val="28"/>
          </w:rPr>
          <w:t>приложение № 2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«Приложение № 2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государственной программе Республики Тыва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«Реализация государственной национальной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политики Российской Федерации в Республике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Тыва на 2021 - 2023 годы»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основных мероприятий государственной программы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Республики Тыва «Реализация государственной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национальной политики Российской Федерации</w:t>
      </w:r>
    </w:p>
    <w:p>
      <w:pPr>
        <w:sectPr>
          <w:type w:val="nextPage"/>
          <w:pgSz w:w="11906" w:h="16838"/>
          <w:pgMar w:left="993" w:right="566" w:gutter="0" w:header="0" w:top="1134" w:footer="0" w:bottom="1134"/>
          <w:pgNumType w:fmt="decimal"/>
          <w:formProt w:val="false"/>
          <w:titlePg/>
          <w:textDirection w:val="lrTb"/>
          <w:docGrid w:type="default" w:linePitch="299" w:charSpace="0"/>
        </w:sect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Республике Тыва на 2021 - 2023 годы»</w:t>
      </w:r>
    </w:p>
    <w:tbl>
      <w:tblPr>
        <w:tblW w:w="15452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212"/>
        <w:gridCol w:w="1190"/>
        <w:gridCol w:w="1136"/>
        <w:gridCol w:w="1020"/>
        <w:gridCol w:w="1077"/>
        <w:gridCol w:w="1134"/>
        <w:gridCol w:w="740"/>
        <w:gridCol w:w="1247"/>
        <w:gridCol w:w="737"/>
        <w:gridCol w:w="2043"/>
        <w:gridCol w:w="2914"/>
      </w:tblGrid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Объем финансирования, всего, тыс. рублей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 том числе по годам: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Ответственные за исполнение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Результат реализации мероприятий (достижение плановых показателей)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1-й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3-й 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1-й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2-й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3-й год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11</w:t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 Укрепление общероссийского гражданского единства и этнокультурное развитие народов, проживающих на территории Республики Тыва, в том числе: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16898,95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5050,5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5561,52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6286,93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16330,13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5335,13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566,17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226,39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1.1. проведение ежегодных республиканских семинаров-совещаний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454,55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50,51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202,02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202,02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23.09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23.09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23.09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(проведение семинара-совещания один раз в год, обучение 35 - 40 человек)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1.2. мероприятия по развитию материально-технической базы государственного автономного учреждения "Центр русской культуры" Республики Тыва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2054,3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505,05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625,05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924,2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государственное автономное учреждение "Центр русской культуры" Республики Тыва (далее - ГАУ "Центр русской культуры" Республики Тыва)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охват мероприятиями, направленными на этнокультурное развитие народов Республики Тыва, не менее 5000 человек в год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2033,8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618,8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1.3. формирование общероссийской гражданской идентичности путем содействия в проведении мероприятий, приуроченных к празднованию государственных праздников (12 июня - День России, 4 ноября - День народного единства)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2721,1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324,42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881,48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1515,2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охват мероприятиями, направленными на этнокультурное развитие народов Республики Тыва, не менее 1000 человек в год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2594,85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321,18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773,67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126,25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107,81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1.4. поддержка диаспор и землячеств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1821,34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404,58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699,56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717,2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1803,09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400,53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692,56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18,25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4,05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1.5. проведение фестиваля национальных культур "Найырал"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775,4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252,53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257,57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04.11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04.11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04.11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культуры Республики Тыва, мэрия г. Кызыла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7,75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1.6. участие во Всероссийской просветительской акции "Большой этнографический диктант"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203,61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2000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201,58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41,58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1.7. проведение межрегионального фестиваля русской культуры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3333,2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3299,87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1299,87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33,33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13,13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1.8. проведение среди социально значимых проектов, направленных на укрепление гражданского единства и гармонизацию межнациональных отношений, конкурса на получение грантовой поддержки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2121,21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707,07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707,07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707,07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грантовая поддержка не менее 3 проектов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21,21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1.9. организация и проведение фестиваля межнациональных культур "Богатство России" среди студентов учреждений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образования Республики Тыва, 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500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1.10. мероприятия, направленные на поддержку и сохранение русского языка как государственного, в том числе конференция, посвященная Дню русского языка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1070,23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141,17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606,06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сохранение и развитие русского языка и языков народов Тувы, - не менее 500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1059,53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319,77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1.11. мероприятия, направленные на укрепление межконфессионального согласия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726,18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438,21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228,67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управление Камбы-Ламы Республики Тыва (по согласованию), Кызылская Епархия Русской Православной Церкви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менее 2000 человек в 2021 и 2022 гг.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492,54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433,83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58,71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233,64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228,67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1.12. проведение конкурса на лучшую муниципальную программу по реализации Стратегии государственной национальной политики Российской Федерации в Республике Тыва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101,01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101,01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01.05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экономического развития и промышленности Республики Тыва, департамент по внутренней политике Администрации Главы Республики Тыва и Аппарата Правительства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поддержка не менее одной муниципальной программы в 2021 и 2022 гг.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1.13.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образования Республики Тыва, 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издание научных трудов (не менее 1)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1.14. развитие этнотуризма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1450,06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513,86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положительно оценивающих состояние межнациональных отношений, в общей численности граждан, проживающих в Республике Тыва, в 2021 и 2022 гг. - от 100 до 300 человек (наличие одного объекта)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1363,77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508,72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855,05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86,29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5,14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1.15. реализация проекта "100 лет Тувинской Народной Республике - сквозь призму истории"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12.06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Тувинское региональное отделение всероссийской творческой общественной организации "Союз художников России" "Союз художников Республики Тыва"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численность участников мероприятий, направленных на этнокультурное развитие народов Республики Тыва, - не менее 10000 человек в 2021 и 2022 гг.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8156,76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3015,4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2949,44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2191,92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7002,97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2429,87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1863,1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1126,79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297,4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510,57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318,82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пропаганда толерантного отношения к представителям разных народов Российской Федерации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1274,59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650,85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164,74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цифрового развития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Республики Тыва - до 1000 человек (количество проектов - не менее 5)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1261,85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644,34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454,41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12,74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2.2.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на этнической и религиозной основе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573,12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151,52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Республики Тыва - до 5000 человек (количество роликов - до 2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498,1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2.3. поддержка межэтнической журналистики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336,25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216,52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119,73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цифрового развития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Республики Тыва - до 80 участников (один раз в год в 2021 и 2022 гг.)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284,35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214,35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49,73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2.4. национальная литературная премия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- до 30 участников (один раз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2.5. производство и распространение телепрограмм о жизни, труде, службе, культуре и быте представителей народов России, проживающих в Республике Тыва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ежемесячно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цифрового развития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в 2021 и 2022 гг. - от 3 до 5 тыс. зрителей (один раз в квартал)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2.6. 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- до 8000 участников (количество мероприятий - от 15 до 20 раз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2.7. организация и проведение профилактических акций в Международный день толерантности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образования Республики Тыва, Агентство по делам национальностей Республики Тыва, ФГБОУ ВО "Тувинский государственный университет"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- от 1000 до 1500 участников (количество акций - 2 раза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2.8. обеспечение участия делегации Республики Тыва в межрегиональных форумах, фестивалях, выставках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1913,25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557,35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578,1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777,8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спорта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- от 1 до 10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1894,07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551,75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572,32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19,18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2.9. профилактика этнополитического и религиозно-политического экстремизма, ксенофобии и нетерпимости среди молодежи, проведение психолого-религиоведческо-лингвистических исследований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635,83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144,59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ГБНИиОУ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отношений, в общем числе конфликтов в сфере межнациональных и этноконфессиональных отношений, выявленных в Республике Тыва (количество мероприятий - от одного до трех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629,47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66,33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143,14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6,37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2.10. проведение консультаций студентами и профессорско-преподавательским составом Тувинского государственного университета по вопросам равноправия, основам конституционного права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01.12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образования Республики Тыва, ФГБОУ ВО "Тувинский государственный университет"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формирование отрицательного отношения к любым проявлениям дискриминации, насилия, расизма и экстремизма на национальной и конфессиональной почве (количество консультаций - от одной до пяти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2.11.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1007,03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образования Республики Тыва, ГБНИиОУ "Тувинский институт гуманитарных и прикладных социально-экономических исследований при Правительстве Республики Тыва", ФГБОУ ВО "Тувинский государственный университет"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(не менее одного социологического исследования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996,97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349,97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10,06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3,53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2.12.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на постоянной основе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отдел приема и контроля обращений граждан управления документационного обеспечения Администрации Главы Республики Тыва и Аппарата Правительства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2.13. мероприятия, направленные на поддержку деятельности ресурсного центра для СОНКО "Единство российской нации"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940,58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404,04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536,54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положительно оценивающих состояние межнациональных отношений, в общей численности граждан, проживающих в Республике Тыва, в 2021 - 2022 гг. (количество участников - от 50 до 100 человек)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931,18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531,18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4,04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2.14. поддержка деятельности центра адаптации и интеграции мигрантов в г. Кызыле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184,49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117,49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мэрия г. Кызыла (по согласованию), Союз "Торгово-промышленная палата Республики Тыва"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граждан, успешно сдавших экзамен по русскому языку, истории России и основам конституционного строя Российской Федерации, в общем количестве иностранных граждан, сдававших экзамен в 2021 и 2022 гг. (количество участников - от 10 до 100 человек)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47,02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47,02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137,47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70,47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2.15. цикл лекций, бесед, кинопоказов, проводимых сотрудниками библиотек Республики Тыва, направленных на укрепление мира и согласия народов, проживающих на территории Республики Тыва, противодействие экстремизму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03.09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03.09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03.09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культуры Республики Тыва, органы местного самоуправления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мероприятий, направленных на укрепление общероссийского гражданского единства, - от 10 - 15 мероприятий по каждому муниципальному образованию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2.16. организация и проведение военно-спортивных игр, молодежно-патриотических акций, конкурсов, сборов, способствующих упрочению мира и дружбы между народами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460,85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289,13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171,72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12.07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12.07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12.07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укрепление общероссийского гражданского единства, в 2021 и 2022 гг. - от 500 до 1000 участников (количество мероприятий - от одного до четырех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456,24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286,24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3. Развитие российского казачества, в том числе: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3975,81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1199,89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1381,92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3936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1187,9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1368,1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39,81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11,99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13,82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1560,82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55,66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111,14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1394,02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Тыва, ГАУ "Центр русской культуры" Республики Тыва, Верхнеенисейское казачье войско (по согласованию)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патриотизма, - 25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1545,13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15,67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3.2. обеспечение деятельности казачества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2415,01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1144,23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1270,78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 2021 г. - 25 человек;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 2022 г. - 25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2390,87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1132,8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1258,07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24,14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11,43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12,71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Тыва, в том числе: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6141,8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2107,02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2017,02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2017,76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5559,3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1912,5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1823,4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1823,4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19,32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525,6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4.1. проведение мероприятий, посвященных оленеводам Республики Тыва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365,94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163,84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28.02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участников мероприятий, направленных на этнокультурное развитие коренных малочисленных народов, - 1000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362,2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4.2. поддержка оленеводов и участие в международной выставке-ярмарке "Сокровища Севера" (материально-техническое обеспечение)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3330,07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1224,75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1071,92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1033,4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общин и иных объединений коренных малочисленных народов, получивших поддержку на развитие традиционных отраслей, - от 2 до 5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3297,1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1212,5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1061,2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1023,4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33,31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12,25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4.3. улучшение материально-технической базы социальных объектов в местах проживания коренного малочисленного народа - тувинцев-тоджинцев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885,29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303,03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279,23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улучшение материально-технического обеспечения образовательного учреждения - 1 ед.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876,44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276,44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8,85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4.4. проведение медицинского обследования оленеводов "Маршрут здоровья для оленевода" (онкология, гинекология, урология, инфекционные заболевания)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525,6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09.08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28.0209.08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09.08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профилактика заболеваемости, увеличение продолжительности жизни коренных малочисленных народов (не менее одного раза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525,6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4.5. мероприятия, направленные на увеличение занятости трудоспособной части коренного малочисленного народа - тувинцев-тоджинцев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труда и социальной политики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не менее одного мероприятия, направленного на трудоустройство коренного малочисленного народа - тувинцев-тоджинцев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4.6. обучение (подготовка) представителей коренного малочисленного народа - тувинцев-тоджинцев - востребованным профессиям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Министерство труда и социальной политики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обученных (подготовленных) по востребованным профессиям - от 1 до 3 человек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4.7. поддержка издания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124,81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101,01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 (не менее 1 издания в год)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123,56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0,24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4.8. сохранение и развитие традиционного образа жизни и хозяйственной деятельности коренных малочисленных народов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909,09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303,03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"Реализация государственной национальной политики", из общего числа опрошенных лиц, относящихся к коренным малочисленным народам Севера, Сибири и Дальнего Востока Российской Федерации, - 2 процента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9,09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5. Развитие институтов гражданского общества Республики Тыва, в том числе: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25648,93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5347,23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8989,9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 увеличение численности граждан Республики Тыва, в интересах которых осуществляется деятельность социально ориентированных некоммерческих организаций; увеличение количества поддержанных в рамках государственной программы социально значимых проектов и программ СОНКО, реализуемых СОНКО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9747,23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4747,23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15901,7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5.1. организация мероприятий по развитию институтов гражданского общества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 увеличение численности граждан, в интересах которых осуществляется деятельность социально ориентированных некоммерческих организаций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5.2. поддержка социально значимых проектов и программ, проводимых СОНКО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25648,93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5347,23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8989,9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31.07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31.07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31.07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увеличение количества поддержанных в рамках государственной программы социально значимых проектов и программ СОНКО, реализуемых СОНКО</w:t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9747,23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4747,23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15901,7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Всего по Программе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60821,6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16720,0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20899,8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23201,8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федеральный бюджет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42575,63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15557,6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15956,5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11061,5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17690,71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979,2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11952,4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2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внебюджетные средства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552,6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</w:tbl>
    <w:p>
      <w:pPr>
        <w:pStyle w:val="ConsPlusNormal"/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sectPr>
          <w:type w:val="nextPage"/>
          <w:pgSz w:orient="landscape" w:w="16838" w:h="11906"/>
          <w:pgMar w:left="1134" w:right="1134" w:gutter="0" w:header="0" w:top="1440" w:footer="0" w:bottom="1440"/>
          <w:pgNumType w:fmt="decimal"/>
          <w:formProt w:val="false"/>
          <w:textDirection w:val="lrTb"/>
          <w:docGrid w:type="default" w:linePitch="312" w:charSpace="0"/>
        </w:sect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Республики Тыва</w:t>
        <w:tab/>
        <w:tab/>
        <w:tab/>
        <w:tab/>
        <w:tab/>
        <w:tab/>
        <w:tab/>
        <w:t xml:space="preserve">       В. Ховалыг</w:t>
      </w:r>
    </w:p>
    <w:sectPr>
      <w:type w:val="nextPage"/>
      <w:pgSz w:w="11906" w:h="16838"/>
      <w:pgMar w:left="1134" w:right="707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ourier New" w:cs="Times New Roman"/>
      <w:color w:val="auto"/>
      <w:kern w:val="2"/>
      <w:sz w:val="22"/>
      <w:szCs w:val="22"/>
      <w:lang w:eastAsia="ru-RU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" w:customStyle="1">
    <w:name w:val="Нижний колонтитул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" w:customStyle="1">
    <w:name w:val="Верхний колонтитул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exact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/>
    <w:rPr>
      <w:rFonts w:ascii="PT Astra Serif" w:hAnsi="PT Astra Serif" w:cs="Noto Sans Devanagari"/>
    </w:rPr>
  </w:style>
  <w:style w:type="paragraph" w:styleId="12" w:customStyle="1">
    <w:name w:val="Обычная таблица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auto"/>
      <w:kern w:val="2"/>
      <w:sz w:val="22"/>
      <w:szCs w:val="22"/>
      <w:lang w:eastAsia="ru-RU" w:bidi="ar-SA" w:val="ru-RU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Arial"/>
      <w:color w:val="auto"/>
      <w:kern w:val="2"/>
      <w:sz w:val="20"/>
      <w:szCs w:val="20"/>
      <w:lang w:eastAsia="ru-RU" w:bidi="ar-SA" w:val="ru-RU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2"/>
      <w:sz w:val="20"/>
      <w:szCs w:val="20"/>
      <w:lang w:eastAsia="ru-RU" w:bidi="ar-SA" w:val="ru-RU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Courier New" w:cs="Tahoma"/>
      <w:color w:val="auto"/>
      <w:kern w:val="2"/>
      <w:sz w:val="26"/>
      <w:szCs w:val="26"/>
      <w:lang w:eastAsia="ru-RU" w:bidi="ar-SA" w:val="ru-RU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Arial"/>
      <w:b/>
      <w:color w:val="auto"/>
      <w:kern w:val="2"/>
      <w:sz w:val="20"/>
      <w:szCs w:val="20"/>
      <w:lang w:eastAsia="ru-RU" w:bidi="ar-SA" w:val="ru-RU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2"/>
      <w:sz w:val="20"/>
      <w:szCs w:val="20"/>
      <w:lang w:eastAsia="ru-RU" w:bidi="ar-SA" w:val="ru-RU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Courier New" w:cs="Tahoma"/>
      <w:color w:val="auto"/>
      <w:kern w:val="2"/>
      <w:sz w:val="18"/>
      <w:szCs w:val="18"/>
      <w:lang w:eastAsia="ru-RU" w:bidi="ar-SA" w:val="ru-RU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Courier New" w:cs="Tahoma"/>
      <w:color w:val="auto"/>
      <w:kern w:val="2"/>
      <w:sz w:val="20"/>
      <w:szCs w:val="20"/>
      <w:lang w:eastAsia="ru-RU" w:bidi="ar-SA" w:val="ru-RU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Arial"/>
      <w:color w:val="auto"/>
      <w:kern w:val="2"/>
      <w:sz w:val="20"/>
      <w:szCs w:val="20"/>
      <w:lang w:eastAsia="ru-RU" w:bidi="ar-SA" w:val="ru-RU"/>
    </w:rPr>
  </w:style>
  <w:style w:type="paragraph" w:styleId="ConsPlusTextList1" w:customStyle="1">
    <w:name w:val="ConsPlusTextList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Arial"/>
      <w:color w:val="auto"/>
      <w:kern w:val="2"/>
      <w:sz w:val="20"/>
      <w:szCs w:val="20"/>
      <w:lang w:eastAsia="ru-RU" w:bidi="ar-SA" w:val="ru-RU"/>
    </w:rPr>
  </w:style>
  <w:style w:type="paragraph" w:styleId="Style26" w:customStyle="1">
    <w:name w:val="Содержимое таблицы"/>
    <w:basedOn w:val="Normal"/>
    <w:qFormat/>
    <w:pPr>
      <w:widowControl w:val="false"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4253&amp;date=17.11.2023&amp;dst=103280&amp;field=134" TargetMode="External"/><Relationship Id="rId3" Type="http://schemas.openxmlformats.org/officeDocument/2006/relationships/hyperlink" Target="https://login.consultant.ru/link/?req=doc&amp;base=RLAW434&amp;n=39561&amp;date=17.11.2023&amp;dst=100017&amp;field=134" TargetMode="External"/><Relationship Id="rId4" Type="http://schemas.openxmlformats.org/officeDocument/2006/relationships/hyperlink" Target="https://login.consultant.ru/link/?req=doc&amp;base=RLAW434&amp;n=39561&amp;date=17.11.2023&amp;dst=100018&amp;field=134" TargetMode="External"/><Relationship Id="rId5" Type="http://schemas.openxmlformats.org/officeDocument/2006/relationships/hyperlink" Target="https://login.consultant.ru/link/?req=doc&amp;base=RLAW434&amp;n=39561&amp;date=17.11.2023&amp;dst=109198&amp;field=134" TargetMode="External"/><Relationship Id="rId6" Type="http://schemas.openxmlformats.org/officeDocument/2006/relationships/hyperlink" Target="https://login.consultant.ru/link/?req=doc&amp;base=RLAW434&amp;n=39561&amp;date=17.11.2023&amp;dst=109253&amp;field=134" TargetMode="External"/><Relationship Id="rId7" Type="http://schemas.openxmlformats.org/officeDocument/2006/relationships/hyperlink" Target="https://login.consultant.ru/link/?req=doc&amp;base=RLAW434&amp;n=39561&amp;date=17.11.2023&amp;dst=109348&amp;field=13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9</Pages>
  <Words>703</Words>
  <Characters>4574</Characters>
  <CharactersWithSpaces>5000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2023-12-27T11:57:00Z</dcterms:created>
  <dc:creator>User</dc:creator>
  <dc:description/>
  <dc:language>ru-RU</dc:language>
  <cp:lastModifiedBy>ADN</cp:lastModifiedBy>
  <dcterms:modified xsi:type="dcterms:W3CDTF">2023-12-27T11:57:00Z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syrga</vt:lpwstr>
  </property>
</Properties>
</file>